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FC9" w:rsidRDefault="006B2FC9" w:rsidP="006B2FC9">
      <w:pPr>
        <w:pStyle w:val="2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собрание депутатов ВЫЛКОВСКОГО СЕЛЬСОВЕТА                    ТЮМЕНЦЕВСКОГО РАЙОНА Алтайского края</w:t>
      </w:r>
    </w:p>
    <w:p w:rsidR="006B2FC9" w:rsidRDefault="006B2FC9" w:rsidP="006B2FC9">
      <w:pPr>
        <w:rPr>
          <w:b/>
          <w:bCs/>
          <w:sz w:val="24"/>
          <w:szCs w:val="24"/>
        </w:rPr>
      </w:pPr>
    </w:p>
    <w:p w:rsidR="006B2FC9" w:rsidRDefault="006B2FC9" w:rsidP="006B2FC9">
      <w:pPr>
        <w:pStyle w:val="3"/>
        <w:jc w:val="center"/>
        <w:rPr>
          <w:rFonts w:ascii="Arial" w:hAnsi="Arial" w:cs="Arial"/>
          <w:spacing w:val="84"/>
          <w:sz w:val="36"/>
          <w:szCs w:val="36"/>
        </w:rPr>
      </w:pPr>
      <w:r>
        <w:rPr>
          <w:sz w:val="36"/>
          <w:szCs w:val="36"/>
        </w:rPr>
        <w:t>РЕШЕНИЕ</w:t>
      </w:r>
    </w:p>
    <w:p w:rsidR="006B2FC9" w:rsidRDefault="006B2FC9" w:rsidP="006B2FC9">
      <w:pPr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6B2FC9" w:rsidTr="006B2FC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2FC9" w:rsidRDefault="006B2FC9">
            <w:pPr>
              <w:ind w:right="-2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29.12.2014</w:t>
            </w:r>
          </w:p>
        </w:tc>
        <w:tc>
          <w:tcPr>
            <w:tcW w:w="2392" w:type="dxa"/>
          </w:tcPr>
          <w:p w:rsidR="006B2FC9" w:rsidRDefault="006B2FC9">
            <w:pPr>
              <w:ind w:right="-2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8" w:type="dxa"/>
            <w:hideMark/>
          </w:tcPr>
          <w:p w:rsidR="006B2FC9" w:rsidRDefault="006B2FC9">
            <w:pPr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6B2FC9" w:rsidRDefault="006B2FC9">
            <w:pPr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B02EC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6B2FC9" w:rsidRPr="006B2FC9" w:rsidRDefault="006B2FC9" w:rsidP="006B2FC9">
      <w:pPr>
        <w:ind w:right="-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с. Вылково</w:t>
      </w:r>
    </w:p>
    <w:p w:rsidR="006B2FC9" w:rsidRDefault="006B2FC9" w:rsidP="006B2F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Об утверждении бюджета  Вылковского </w:t>
      </w:r>
      <w:proofErr w:type="gramStart"/>
      <w:r>
        <w:rPr>
          <w:rFonts w:ascii="Arial" w:hAnsi="Arial"/>
          <w:sz w:val="24"/>
          <w:szCs w:val="24"/>
        </w:rPr>
        <w:t>с</w:t>
      </w:r>
      <w:proofErr w:type="gramEnd"/>
      <w:r>
        <w:rPr>
          <w:rFonts w:ascii="Arial" w:hAnsi="Arial"/>
          <w:sz w:val="24"/>
          <w:szCs w:val="24"/>
        </w:rPr>
        <w:t xml:space="preserve">/с </w:t>
      </w:r>
    </w:p>
    <w:p w:rsidR="006B2FC9" w:rsidRDefault="006B2FC9" w:rsidP="006B2F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Тюменцевского района  на 2015 год</w:t>
      </w:r>
    </w:p>
    <w:p w:rsidR="006B2FC9" w:rsidRDefault="006B2FC9" w:rsidP="006B2FC9">
      <w:pPr>
        <w:rPr>
          <w:rFonts w:ascii="Arial" w:hAnsi="Arial"/>
          <w:sz w:val="24"/>
          <w:szCs w:val="24"/>
        </w:rPr>
      </w:pPr>
    </w:p>
    <w:p w:rsidR="006B2FC9" w:rsidRDefault="006B2FC9" w:rsidP="006B2F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В соответствии с пунктом 3 статьи 49 Устава муниципального образования Вылковский сельсовет Тюменцевского района Алтайского края  Собрание депутатов Вылковского сельсовета </w:t>
      </w:r>
    </w:p>
    <w:p w:rsidR="006B2FC9" w:rsidRDefault="006B2FC9" w:rsidP="006B2F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РЕШИЛО:</w:t>
      </w:r>
    </w:p>
    <w:p w:rsidR="006B2FC9" w:rsidRDefault="006B2FC9" w:rsidP="006B2FC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Утвердить бюджет  Вылковского с/с Тюменцевского района Алтайского края на 2015 год (приложение прилагается)</w:t>
      </w:r>
    </w:p>
    <w:p w:rsidR="006B2FC9" w:rsidRDefault="006B2FC9" w:rsidP="006B2FC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sz w:val="24"/>
          <w:szCs w:val="24"/>
        </w:rPr>
        <w:t>Направить данное решение главе сельсовета Лычеговой С.В. для подписания и обнародовать настоящее решение в установленном порядке</w:t>
      </w:r>
    </w:p>
    <w:p w:rsidR="006B2FC9" w:rsidRDefault="006B2FC9" w:rsidP="006B2FC9">
      <w:pPr>
        <w:numPr>
          <w:ilvl w:val="0"/>
          <w:numId w:val="1"/>
        </w:numPr>
        <w:spacing w:after="0" w:line="240" w:lineRule="auto"/>
        <w:rPr>
          <w:rFonts w:ascii="Arial" w:hAnsi="Arial"/>
          <w:b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Контроль за</w:t>
      </w:r>
      <w:proofErr w:type="gramEnd"/>
      <w:r>
        <w:rPr>
          <w:rFonts w:ascii="Arial" w:hAnsi="Arial"/>
          <w:sz w:val="24"/>
          <w:szCs w:val="24"/>
        </w:rPr>
        <w:t xml:space="preserve"> исполнением настоящего решения возложить на постоянную комиссию по плану, бюджету,  налогам, кредитам и экономической политике (председатель </w:t>
      </w:r>
      <w:proofErr w:type="spellStart"/>
      <w:r>
        <w:rPr>
          <w:rFonts w:ascii="Arial" w:hAnsi="Arial"/>
          <w:sz w:val="24"/>
          <w:szCs w:val="24"/>
        </w:rPr>
        <w:t>Гребенькова</w:t>
      </w:r>
      <w:proofErr w:type="spellEnd"/>
      <w:r>
        <w:rPr>
          <w:rFonts w:ascii="Arial" w:hAnsi="Arial"/>
          <w:sz w:val="24"/>
          <w:szCs w:val="24"/>
        </w:rPr>
        <w:t xml:space="preserve"> Л.А.)</w:t>
      </w:r>
    </w:p>
    <w:p w:rsidR="006B2FC9" w:rsidRDefault="006B2FC9" w:rsidP="006B2FC9">
      <w:pPr>
        <w:ind w:left="360"/>
        <w:rPr>
          <w:rFonts w:ascii="Arial" w:hAnsi="Arial"/>
          <w:sz w:val="24"/>
          <w:szCs w:val="24"/>
        </w:rPr>
      </w:pPr>
    </w:p>
    <w:p w:rsidR="006B2FC9" w:rsidRDefault="006B2FC9" w:rsidP="006B2FC9">
      <w:pPr>
        <w:ind w:left="360"/>
        <w:rPr>
          <w:rFonts w:ascii="Arial" w:hAnsi="Arial"/>
          <w:sz w:val="24"/>
          <w:szCs w:val="24"/>
        </w:rPr>
      </w:pPr>
    </w:p>
    <w:p w:rsidR="006B2FC9" w:rsidRDefault="006B2FC9" w:rsidP="006B2FC9">
      <w:pPr>
        <w:ind w:left="360"/>
        <w:rPr>
          <w:rFonts w:ascii="Arial" w:hAnsi="Arial"/>
          <w:sz w:val="24"/>
          <w:szCs w:val="24"/>
        </w:rPr>
      </w:pPr>
    </w:p>
    <w:p w:rsidR="006B2FC9" w:rsidRDefault="006B2FC9" w:rsidP="006B2FC9">
      <w:pPr>
        <w:ind w:left="360"/>
        <w:rPr>
          <w:rFonts w:ascii="Arial" w:hAnsi="Arial"/>
          <w:sz w:val="24"/>
          <w:szCs w:val="24"/>
        </w:rPr>
      </w:pPr>
    </w:p>
    <w:p w:rsidR="00EC55CD" w:rsidRDefault="006B2FC9" w:rsidP="006B2FC9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Председатель Собрания депутатов                                 </w:t>
      </w:r>
      <w:proofErr w:type="spellStart"/>
      <w:r>
        <w:rPr>
          <w:rFonts w:ascii="Arial" w:hAnsi="Arial"/>
          <w:sz w:val="24"/>
          <w:szCs w:val="24"/>
        </w:rPr>
        <w:t>Л.В.Коломеец</w:t>
      </w:r>
      <w:proofErr w:type="spellEnd"/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233738">
      <w:pPr>
        <w:ind w:left="5760"/>
        <w:jc w:val="both"/>
        <w:rPr>
          <w:rFonts w:ascii="Calibri" w:eastAsia="Times New Roman" w:hAnsi="Calibri" w:cs="Times New Roman"/>
          <w:caps/>
        </w:rPr>
      </w:pPr>
      <w:r>
        <w:rPr>
          <w:rFonts w:ascii="Calibri" w:eastAsia="Times New Roman" w:hAnsi="Calibri" w:cs="Times New Roman"/>
          <w:caps/>
        </w:rPr>
        <w:lastRenderedPageBreak/>
        <w:t>Принято собранием</w:t>
      </w:r>
    </w:p>
    <w:p w:rsidR="00233738" w:rsidRDefault="00233738" w:rsidP="00233738">
      <w:pPr>
        <w:ind w:left="5760"/>
        <w:jc w:val="both"/>
        <w:rPr>
          <w:rFonts w:ascii="Calibri" w:eastAsia="Times New Roman" w:hAnsi="Calibri" w:cs="Times New Roman"/>
          <w:caps/>
        </w:rPr>
      </w:pPr>
      <w:r>
        <w:rPr>
          <w:rFonts w:ascii="Calibri" w:eastAsia="Times New Roman" w:hAnsi="Calibri" w:cs="Times New Roman"/>
          <w:caps/>
        </w:rPr>
        <w:t>депутатов от  29.12.2014</w:t>
      </w:r>
    </w:p>
    <w:p w:rsidR="00233738" w:rsidRPr="00031573" w:rsidRDefault="00233738" w:rsidP="00233738">
      <w:pPr>
        <w:ind w:left="5760"/>
        <w:jc w:val="both"/>
        <w:rPr>
          <w:rFonts w:ascii="Calibri" w:eastAsia="Times New Roman" w:hAnsi="Calibri" w:cs="Times New Roman"/>
          <w:caps/>
        </w:rPr>
      </w:pPr>
      <w:r>
        <w:rPr>
          <w:rFonts w:ascii="Calibri" w:eastAsia="Times New Roman" w:hAnsi="Calibri" w:cs="Times New Roman"/>
          <w:caps/>
        </w:rPr>
        <w:t>№ 79</w:t>
      </w:r>
    </w:p>
    <w:p w:rsidR="00233738" w:rsidRDefault="00233738" w:rsidP="0023373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233738" w:rsidRDefault="00233738" w:rsidP="0023373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 «О  бюджете Вылковского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с</w:t>
      </w:r>
      <w:proofErr w:type="gramEnd"/>
      <w:r>
        <w:rPr>
          <w:rFonts w:ascii="Calibri" w:eastAsia="Times New Roman" w:hAnsi="Calibri" w:cs="Times New Roman"/>
          <w:b/>
          <w:sz w:val="28"/>
          <w:szCs w:val="28"/>
        </w:rPr>
        <w:t>/с</w:t>
      </w:r>
    </w:p>
    <w:p w:rsidR="00233738" w:rsidRDefault="00233738" w:rsidP="00233738">
      <w:pPr>
        <w:jc w:val="center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Тюменцевского района Алтайского края на 2015 год»</w:t>
      </w:r>
    </w:p>
    <w:p w:rsidR="00233738" w:rsidRDefault="00233738" w:rsidP="00233738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Статья 1.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 xml:space="preserve">Основные характеристики  бюджета Вылковского с/с на очередной финансовый 2015 год. </w:t>
      </w:r>
      <w:proofErr w:type="gramEnd"/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1. 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Утвердить основные характеристики  бюджета Вылковского с/с  на 2015 год:</w:t>
      </w:r>
      <w:proofErr w:type="gramEnd"/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1) прогнозируемый общий объем доходов бюджета Вылковского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/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</w:t>
      </w:r>
      <w:r>
        <w:rPr>
          <w:rFonts w:ascii="Calibri" w:eastAsia="Times New Roman" w:hAnsi="Calibri" w:cs="Times New Roman"/>
          <w:sz w:val="28"/>
          <w:szCs w:val="28"/>
        </w:rPr>
        <w:br/>
        <w:t xml:space="preserve">в сумме 1749,3 тыс. рублей, в том числе объем межбюджетных трансфертов, получаемых из других бюджетов, в сумме 598,3 тыс. рублей; 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>2) общий объем расходов  бюджета Вылковского с/с в сумме 1749,3тыс. рублей;</w:t>
      </w:r>
      <w:proofErr w:type="gramEnd"/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Статья 2. Нормативы </w:t>
      </w:r>
      <w:r>
        <w:rPr>
          <w:rFonts w:ascii="Calibri" w:eastAsia="Times New Roman" w:hAnsi="Calibri" w:cs="Times New Roman"/>
          <w:b/>
          <w:bCs/>
          <w:sz w:val="28"/>
          <w:szCs w:val="28"/>
        </w:rPr>
        <w:t>распределений доходов в бюджет Вылковского с/с Тюменцевского района на 2015 год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Утвердить нормативы распределений доходов </w:t>
      </w:r>
      <w:r>
        <w:rPr>
          <w:rFonts w:ascii="Calibri" w:eastAsia="Times New Roman" w:hAnsi="Calibri" w:cs="Times New Roman"/>
          <w:bCs/>
          <w:sz w:val="28"/>
          <w:szCs w:val="28"/>
        </w:rPr>
        <w:t>в бюджет Вылковского с/с Тюменцевского района на 2015 год</w:t>
      </w:r>
      <w:r>
        <w:rPr>
          <w:rFonts w:ascii="Calibri" w:eastAsia="Times New Roman" w:hAnsi="Calibri" w:cs="Times New Roman"/>
          <w:sz w:val="28"/>
          <w:szCs w:val="28"/>
        </w:rPr>
        <w:t xml:space="preserve"> согласно приложению 2.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Статья 3. Главные администраторы доходов и главные администраторы источников финансирования дефицита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lastRenderedPageBreak/>
        <w:t xml:space="preserve">1. Утвердить перечень главных администраторов доходов  и главные администраторы источников финансирования дефицита бюджета Вылковского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с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>/с согласно приложению 1.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Статья 4. Межбюджетные трансферты в районный бюджет  на решение вопросов местного значения </w:t>
      </w:r>
      <w:r>
        <w:rPr>
          <w:rFonts w:ascii="Calibri" w:eastAsia="Times New Roman" w:hAnsi="Calibri" w:cs="Times New Roman"/>
          <w:b/>
          <w:color w:val="000000"/>
          <w:spacing w:val="2"/>
          <w:sz w:val="28"/>
          <w:szCs w:val="28"/>
        </w:rPr>
        <w:t>в соответствии с заключенными соглашениями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color w:val="000000"/>
          <w:sz w:val="28"/>
          <w:szCs w:val="28"/>
        </w:rPr>
        <w:t>Утвердить размер межбюджетных трансфертов на решение вопросов местного значения в соответствии с заключенными соглашениями, подлежащих перечислению в районный бюджет в сумме  238,5 тыс. рублей.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 xml:space="preserve">Статья 5. </w:t>
      </w:r>
      <w:proofErr w:type="gramStart"/>
      <w:r>
        <w:rPr>
          <w:rFonts w:ascii="Calibri" w:eastAsia="Times New Roman" w:hAnsi="Calibri" w:cs="Times New Roman"/>
          <w:b/>
          <w:sz w:val="28"/>
          <w:szCs w:val="28"/>
        </w:rPr>
        <w:t>Бюджетные ассигнования  бюджета Вылковского с/с на 2015 год</w:t>
      </w:r>
      <w:proofErr w:type="gramEnd"/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 Утвердить распределение бюджетных ассигнований по разделам, подразделам классификации расходов бюджета на 2015 год  согласно приложению 3.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 Утвердить ведомственную структуру расходов бюджета на 2015 год согласно приложению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>4</w:t>
      </w:r>
      <w:r>
        <w:rPr>
          <w:rFonts w:ascii="Calibri" w:eastAsia="Times New Roman" w:hAnsi="Calibri" w:cs="Times New Roman"/>
          <w:sz w:val="28"/>
          <w:szCs w:val="28"/>
        </w:rPr>
        <w:t>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 Утвердить распределение бюджетных ассигнований по разделам, подразделам, целевым статьям и видам расходов классификации расходов бюджета на 2015 год  согласно приложению 5.</w:t>
      </w:r>
    </w:p>
    <w:p w:rsidR="00233738" w:rsidRDefault="00233738" w:rsidP="0023373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Статья 6. Особенности исполнения  бюджета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color w:val="FF0000"/>
          <w:sz w:val="28"/>
          <w:szCs w:val="28"/>
        </w:rPr>
      </w:pP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Администрация Вылковского сельсовета Тюменцевского района </w:t>
      </w:r>
      <w:r>
        <w:rPr>
          <w:rFonts w:ascii="Times New Roman" w:hAnsi="Times New Roman"/>
          <w:sz w:val="28"/>
          <w:szCs w:val="28"/>
        </w:rPr>
        <w:lastRenderedPageBreak/>
        <w:t>Алтайского края вправе в ходе исполнения настоящего бюджета по представлению главных распорядителей средств  бюджета поселения без внесения изменений в настоящее Решение вносить изменения в сводную бюджетную роспись: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в случае вступления в силу нормативных правовых актов, предусматривающих осуществление полномочий органов местного самоуправления за счет средств из  бюджета – в пределах объема бюджетных ассигнований;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в случае изменения состава или полномочий (функций) главных распорядителей бюджетных средств (подведомственных им казенных учреждений) – в пределах объема бюджетных ассигнований;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в случае использования средств резервного фонда и иным образом зарезервированных сре</w:t>
      </w:r>
      <w:proofErr w:type="gramStart"/>
      <w:r>
        <w:rPr>
          <w:rFonts w:ascii="Times New Roman" w:hAnsi="Times New Roman"/>
          <w:sz w:val="28"/>
          <w:szCs w:val="28"/>
        </w:rPr>
        <w:t>дств в с</w:t>
      </w:r>
      <w:proofErr w:type="gramEnd"/>
      <w:r>
        <w:rPr>
          <w:rFonts w:ascii="Times New Roman" w:hAnsi="Times New Roman"/>
          <w:sz w:val="28"/>
          <w:szCs w:val="28"/>
        </w:rPr>
        <w:t>оставе утвержденных бюджетных ассигнований – в пределах объема бюджетных ассигнований;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 в случае исполнения главными распорядителями бюджетных средств судебных актов, предусматривающих обращение взыскания на средства  бюджета в соответствии с Бюджетным кодексом Российской Федерации – в пределах объема бюджетных ассигнований;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 в случае распределения бюджетных ассигнований между получателями средств  бюджета на конкурсной основе и по иным основаниям, связанным с особенностями исполнения  бюджета поселения – в пределах объема бюджетных ассигнований;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в случае перераспределения бюджетных ассигнований между главными распорядителями бюджетных средств – в пределах объема бюджетных ассигнований;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7)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</w:t>
      </w:r>
      <w:r>
        <w:rPr>
          <w:rFonts w:ascii="Times New Roman" w:hAnsi="Times New Roman"/>
          <w:sz w:val="28"/>
          <w:szCs w:val="28"/>
        </w:rPr>
        <w:noBreakHyphen/>
        <w:t xml:space="preserve"> в пределах общего объема бюджетных ассигнований, предусмотренных главному распорядителю бюджетных средств в текущем финансовом году на оказание муниципальных услуг при условии, что увеличение бюджетных ассигнований по соответствующему виду расходов</w:t>
      </w:r>
      <w:proofErr w:type="gramEnd"/>
      <w:r>
        <w:rPr>
          <w:rFonts w:ascii="Times New Roman" w:hAnsi="Times New Roman"/>
          <w:sz w:val="28"/>
          <w:szCs w:val="28"/>
        </w:rPr>
        <w:t xml:space="preserve"> не превышает 10 процентов;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 в случае изменения типа муниципальных учреждений и организационно-правовой формы  муниципальных унитарных предприятий;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 в случае перераспределения бюджетных ассигнований между видами источников финансирования дефицита бюджета при образовании экономии в ходе исполнения бюджета в пределах общего объема бюджетных ассигнований по источникам финансирования дефицита бюджета, предусмотренных на 2015 год.</w:t>
      </w: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Субсидии, субвенции и иные межбюджетные трансферты, имеющие целевое назначение, в том числе их остатки  не использованные на начало текущего финансового года фактически полученные при исполнении бюджета сверх утвержденных статьей 1 настоящего Решения доходов направляются на увеличение расходов бюджета соответственно целям </w:t>
      </w:r>
      <w:r>
        <w:rPr>
          <w:rFonts w:ascii="Times New Roman" w:hAnsi="Times New Roman"/>
          <w:sz w:val="28"/>
          <w:szCs w:val="28"/>
        </w:rPr>
        <w:lastRenderedPageBreak/>
        <w:t xml:space="preserve">предоставления субсидий, субвенций и иных межбюджетных </w:t>
      </w:r>
      <w:proofErr w:type="gramStart"/>
      <w:r>
        <w:rPr>
          <w:rFonts w:ascii="Times New Roman" w:hAnsi="Times New Roman"/>
          <w:sz w:val="28"/>
          <w:szCs w:val="28"/>
        </w:rPr>
        <w:t>трансфертов</w:t>
      </w:r>
      <w:proofErr w:type="gramEnd"/>
      <w:r>
        <w:rPr>
          <w:rFonts w:ascii="Times New Roman" w:hAnsi="Times New Roman"/>
          <w:sz w:val="28"/>
          <w:szCs w:val="28"/>
        </w:rPr>
        <w:t xml:space="preserve"> имеющих целевое назначение и внесенные в свободную бюджетную роспись без внесения изменений в настоящее Решение.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3. Установить, что с 1 января 2015 года заключение и оплата ранее заключенных органами исполнительной власти  и  казенными учреждениями договоров, исполнение которых осуществляется за счет средств  бюджета, производятся в пределах бюджетных ассигнований, утвержденных бюджетной росписью  бюджета и с учетом принятых обязательств.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4. Обязательства, вытекающие из договоров, исполнение которых осуществляется за счет средств  бюджета, и принятые к исполнению органами исполнительной власти  и  казенными учреждениями сверх бюджетных ассигнований, утвержденных бюджетной росписью, не подлежат оплате за счет средств  бюджета на 2015 год.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Обязательства, вытекающие из договоров, заключенных бюджетными  учреждениями, исполняются за счет средств указанных учреждений.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5.Особенности использования средств от оказания платных услуг  казенными учреждениями.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1) Доходы поступившие в текущем году от оказания платных услуг  казенными учреждениями  и компенсации затрат бюджета  </w:t>
      </w:r>
      <w:proofErr w:type="gramStart"/>
      <w:r>
        <w:rPr>
          <w:rFonts w:ascii="Calibri" w:eastAsia="Times New Roman" w:hAnsi="Calibri" w:cs="Times New Roman"/>
          <w:sz w:val="28"/>
          <w:szCs w:val="28"/>
        </w:rPr>
        <w:t>финансируемым</w:t>
      </w:r>
      <w:proofErr w:type="gramEnd"/>
      <w:r>
        <w:rPr>
          <w:rFonts w:ascii="Calibri" w:eastAsia="Times New Roman" w:hAnsi="Calibri" w:cs="Times New Roman"/>
          <w:sz w:val="28"/>
          <w:szCs w:val="28"/>
        </w:rPr>
        <w:t xml:space="preserve"> за счет средств  бюджета поселения на основании бюджетных смет в 2015 году, в полном объеме зачисляются в доходы  бюджета поселения.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  <w:highlight w:val="yellow"/>
        </w:rPr>
      </w:pPr>
      <w:proofErr w:type="gramStart"/>
      <w:r>
        <w:rPr>
          <w:rFonts w:ascii="Calibri" w:eastAsia="Times New Roman" w:hAnsi="Calibri" w:cs="Times New Roman"/>
          <w:sz w:val="28"/>
          <w:szCs w:val="28"/>
        </w:rPr>
        <w:t xml:space="preserve">2) Средства,  поступившие в  бюджет поселения в 2015 году, перечисляются на лицевые счета главных распорядителей, открытые в органах Федерального казначейства, для последующего доведения в установленном порядке до конкретного казенного учреждения лимитов бюджетных обязательств и использования в качестве дополнительных бюджетных ассигнований на содержание казенных учреждений сверх сумм, </w:t>
      </w:r>
      <w:r>
        <w:rPr>
          <w:rFonts w:ascii="Calibri" w:eastAsia="Times New Roman" w:hAnsi="Calibri" w:cs="Times New Roman"/>
          <w:bCs/>
          <w:sz w:val="28"/>
          <w:szCs w:val="28"/>
        </w:rPr>
        <w:t>с внесением изменений в сводную бюджетную роспись без внесения изменений в настоящее Решение.</w:t>
      </w:r>
      <w:proofErr w:type="gramEnd"/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9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Статья 7. Особенности использования бюджетных ассигнований по обеспечению деятельности органов местного самоуправления Вылковского с/с Тюменцевского района, муниципальных учреждений.</w:t>
      </w:r>
    </w:p>
    <w:p w:rsidR="00233738" w:rsidRDefault="00233738" w:rsidP="00233738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1. Рекомендовать органам местного самоуправления Вылковского с/с Тюменцевского района, муниципальным учреждениям и другим организациям, финансируемым из бюджета поселения, не принимать решений, приводящих к увеличению численности муниципальных служащих, работников учреждений и других организаций бюджетной сферы.</w:t>
      </w:r>
    </w:p>
    <w:p w:rsidR="00233738" w:rsidRDefault="00233738" w:rsidP="00233738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2. Органам местного самоуправления учитывать нормативы формирования расходов на содержание органов местного самоуправления, а также нормативы численности органов местного самоуправления сельских поселений, установленных постановлением Администрации Алтайского края.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center"/>
        <w:rPr>
          <w:rFonts w:ascii="Calibri" w:eastAsia="Times New Roman" w:hAnsi="Calibri" w:cs="Times New Roman"/>
          <w:b/>
          <w:color w:val="FF0000"/>
          <w:sz w:val="28"/>
          <w:szCs w:val="28"/>
        </w:rPr>
      </w:pPr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Статья 8. </w:t>
      </w:r>
      <w:proofErr w:type="gramStart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>Контроль за</w:t>
      </w:r>
      <w:proofErr w:type="gramEnd"/>
      <w:r>
        <w:rPr>
          <w:rFonts w:ascii="Calibri" w:eastAsia="Times New Roman" w:hAnsi="Calibri" w:cs="Times New Roman"/>
          <w:b/>
          <w:color w:val="000000"/>
          <w:sz w:val="28"/>
          <w:szCs w:val="28"/>
        </w:rPr>
        <w:t xml:space="preserve"> исполнением в 2015 году бюджетов  </w:t>
      </w: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  <w:t>муниципальных образований</w:t>
      </w:r>
      <w:r>
        <w:rPr>
          <w:rFonts w:ascii="Calibri" w:eastAsia="Times New Roman" w:hAnsi="Calibri" w:cs="Times New Roman"/>
          <w:b/>
          <w:color w:val="FF0000"/>
          <w:sz w:val="28"/>
          <w:szCs w:val="28"/>
        </w:rPr>
        <w:t>.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33738" w:rsidRDefault="00233738" w:rsidP="00233738">
      <w:pPr>
        <w:shd w:val="clear" w:color="auto" w:fill="FFFFFF"/>
        <w:ind w:left="17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ab/>
        <w:t>1. </w:t>
      </w:r>
      <w:r>
        <w:rPr>
          <w:rFonts w:ascii="Calibri" w:eastAsia="Times New Roman" w:hAnsi="Calibri" w:cs="Times New Roman"/>
          <w:sz w:val="28"/>
          <w:szCs w:val="28"/>
        </w:rPr>
        <w:tab/>
        <w:t xml:space="preserve">Комиссия по бюджетному устройству и финансовому контролю Собрания депутатов вправе проводить проверки местных бюджетов </w:t>
      </w:r>
      <w:r>
        <w:rPr>
          <w:rFonts w:ascii="Calibri" w:eastAsia="Times New Roman" w:hAnsi="Calibri" w:cs="Times New Roman"/>
          <w:sz w:val="28"/>
          <w:szCs w:val="28"/>
        </w:rPr>
        <w:noBreakHyphen/>
        <w:t xml:space="preserve"> получателей межбюджетных трансфертов из районного бюджета.</w:t>
      </w:r>
    </w:p>
    <w:p w:rsidR="00233738" w:rsidRDefault="00233738" w:rsidP="00233738">
      <w:pPr>
        <w:ind w:firstLine="709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2. В случае принятия органами местного самоуправления решений, приводящих к не зачислению либо несвоевременному зачислению в бюджет налогов, сборов и иных доходов, выявления нецелевого использования бюджетных средств и других финансовых нарушений комиссия вправе применять к нарушителям бюджетного законодательства меры принуждения, предусмотренные действующим законодательством Российской Федерации. </w:t>
      </w:r>
    </w:p>
    <w:p w:rsidR="00233738" w:rsidRDefault="00233738" w:rsidP="00233738">
      <w:pPr>
        <w:pStyle w:val="22"/>
        <w:tabs>
          <w:tab w:val="left" w:pos="1980"/>
        </w:tabs>
        <w:ind w:firstLine="709"/>
        <w:rPr>
          <w:rFonts w:ascii="Calibri" w:eastAsia="Times New Roman" w:hAnsi="Calibri" w:cs="Times New Roman"/>
          <w:bCs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lastRenderedPageBreak/>
        <w:t>Статья 9. Приведение решений и иных нормативных правовых актов Вылковского с/с Тюменцевского района в соответствие с настоящим Решением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Решения и иные нормативные правовые акты Вылковского с/с Тюменцевского района подлежат приведению в соответствие с настоящим Решением в срок до 1 января 2015 года.</w:t>
      </w:r>
    </w:p>
    <w:p w:rsidR="00233738" w:rsidRDefault="00233738" w:rsidP="0023373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b/>
          <w:sz w:val="28"/>
          <w:szCs w:val="28"/>
        </w:rPr>
      </w:pPr>
      <w:r>
        <w:rPr>
          <w:rFonts w:ascii="Calibri" w:eastAsia="Times New Roman" w:hAnsi="Calibri" w:cs="Times New Roman"/>
          <w:b/>
          <w:sz w:val="28"/>
          <w:szCs w:val="28"/>
        </w:rPr>
        <w:t>Статья 10. Вступление в силу настоящего Решения</w:t>
      </w:r>
    </w:p>
    <w:p w:rsidR="00233738" w:rsidRDefault="00233738" w:rsidP="00233738">
      <w:pPr>
        <w:ind w:firstLine="708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 xml:space="preserve">Настоящее Решение вступает в силу с 1 января 2015 года, за исключением статьи </w:t>
      </w:r>
      <w:r>
        <w:rPr>
          <w:rFonts w:ascii="Calibri" w:eastAsia="Times New Roman" w:hAnsi="Calibri" w:cs="Times New Roman"/>
          <w:color w:val="000000"/>
          <w:sz w:val="28"/>
          <w:szCs w:val="28"/>
        </w:rPr>
        <w:t xml:space="preserve">10 </w:t>
      </w:r>
      <w:r>
        <w:rPr>
          <w:rFonts w:ascii="Calibri" w:eastAsia="Times New Roman" w:hAnsi="Calibri" w:cs="Times New Roman"/>
          <w:sz w:val="28"/>
          <w:szCs w:val="28"/>
        </w:rPr>
        <w:t>настоящего Решения, которая вступает в силу со дня его официального опубликования.</w:t>
      </w: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Default="00233738" w:rsidP="006B2FC9">
      <w:pPr>
        <w:rPr>
          <w:rFonts w:ascii="Arial" w:hAnsi="Arial"/>
          <w:sz w:val="24"/>
          <w:szCs w:val="24"/>
        </w:rPr>
      </w:pPr>
    </w:p>
    <w:p w:rsidR="00233738" w:rsidRPr="00545BC4" w:rsidRDefault="00233738" w:rsidP="00233738">
      <w:pPr>
        <w:jc w:val="center"/>
        <w:rPr>
          <w:b/>
          <w:sz w:val="28"/>
          <w:szCs w:val="28"/>
        </w:rPr>
      </w:pPr>
      <w:r w:rsidRPr="00545BC4">
        <w:rPr>
          <w:b/>
          <w:sz w:val="28"/>
          <w:szCs w:val="28"/>
        </w:rPr>
        <w:lastRenderedPageBreak/>
        <w:t>ПОЯСНИТЕЛЬНАЯ    ЗАПИСКА</w:t>
      </w:r>
    </w:p>
    <w:p w:rsidR="00233738" w:rsidRDefault="00233738" w:rsidP="00233738">
      <w:pPr>
        <w:jc w:val="center"/>
      </w:pPr>
      <w:r w:rsidRPr="00545BC4">
        <w:t>по формированию местного бюджета на 201</w:t>
      </w:r>
      <w:r>
        <w:t>5 год</w:t>
      </w:r>
    </w:p>
    <w:p w:rsidR="00233738" w:rsidRPr="00545BC4" w:rsidRDefault="00233738" w:rsidP="00233738">
      <w:pPr>
        <w:jc w:val="center"/>
      </w:pPr>
      <w:r>
        <w:t>Администрации Вылковского сельсовета Тюменцевского района Алтайского края</w:t>
      </w:r>
    </w:p>
    <w:p w:rsidR="00233738" w:rsidRPr="00545BC4" w:rsidRDefault="00233738" w:rsidP="00233738">
      <w:pPr>
        <w:widowControl w:val="0"/>
        <w:ind w:firstLine="709"/>
        <w:jc w:val="both"/>
      </w:pPr>
      <w:r w:rsidRPr="00545BC4">
        <w:t>Доходы местного бюджета, поступающие в 201</w:t>
      </w:r>
      <w:r>
        <w:t>5</w:t>
      </w:r>
      <w:r w:rsidRPr="00545BC4">
        <w:t xml:space="preserve"> году, формируются за счет:</w:t>
      </w:r>
    </w:p>
    <w:p w:rsidR="00233738" w:rsidRPr="00545BC4" w:rsidRDefault="00233738" w:rsidP="00233738">
      <w:pPr>
        <w:widowControl w:val="0"/>
        <w:ind w:firstLine="709"/>
        <w:jc w:val="both"/>
      </w:pPr>
      <w:r w:rsidRPr="00545BC4">
        <w:t>1) федеральных, региональных и местных налогов и сборов, налогов, пр</w:t>
      </w:r>
      <w:r w:rsidRPr="00545BC4">
        <w:t>е</w:t>
      </w:r>
      <w:r w:rsidRPr="00545BC4">
        <w:t>дусмотренных специальными налоговыми режимами, и неналоговых доходов – в соответс</w:t>
      </w:r>
      <w:r w:rsidRPr="00545BC4">
        <w:t>т</w:t>
      </w:r>
      <w:r w:rsidRPr="00545BC4">
        <w:t>вии с нормативами, установленными Бюджетным кодексом Российской Федерации, Федеральным</w:t>
      </w:r>
      <w:r>
        <w:t>и</w:t>
      </w:r>
      <w:r w:rsidRPr="00545BC4">
        <w:t xml:space="preserve"> закон</w:t>
      </w:r>
      <w:r>
        <w:t>а</w:t>
      </w:r>
      <w:r w:rsidRPr="00545BC4">
        <w:t>м</w:t>
      </w:r>
      <w:r>
        <w:t>и</w:t>
      </w:r>
      <w:r w:rsidRPr="00545BC4">
        <w:t xml:space="preserve"> и з</w:t>
      </w:r>
      <w:r w:rsidRPr="00545BC4">
        <w:t>а</w:t>
      </w:r>
      <w:r w:rsidRPr="00545BC4">
        <w:t>коном Алтайского края о формировании краевого бюджета на 201</w:t>
      </w:r>
      <w:r>
        <w:t>5</w:t>
      </w:r>
      <w:r w:rsidRPr="00545BC4">
        <w:t xml:space="preserve"> год.</w:t>
      </w:r>
    </w:p>
    <w:p w:rsidR="00233738" w:rsidRPr="00233738" w:rsidRDefault="00233738" w:rsidP="00233738">
      <w:pPr>
        <w:widowControl w:val="0"/>
        <w:ind w:firstLine="709"/>
        <w:jc w:val="both"/>
      </w:pPr>
      <w:r w:rsidRPr="00545BC4">
        <w:t>3) федеральных, региональных и местных налогов и сборов (в части пог</w:t>
      </w:r>
      <w:r w:rsidRPr="00545BC4">
        <w:t>а</w:t>
      </w:r>
      <w:r w:rsidRPr="00545BC4">
        <w:t>шения задолженности прошлых лет по отдельным видам налогов, а также в части погашения задолженности по отмененным налогам и сборам.</w:t>
      </w:r>
    </w:p>
    <w:p w:rsidR="00233738" w:rsidRDefault="00233738" w:rsidP="00233738">
      <w:pPr>
        <w:ind w:firstLine="709"/>
        <w:jc w:val="both"/>
      </w:pPr>
      <w:proofErr w:type="gramStart"/>
      <w:r w:rsidRPr="00545BC4">
        <w:t>В целях обеспечения полноты учета и распределения доходов в соответс</w:t>
      </w:r>
      <w:r w:rsidRPr="00545BC4">
        <w:t>т</w:t>
      </w:r>
      <w:r w:rsidRPr="00545BC4">
        <w:t>вии с установленными нормативами отчислений федеральные, региональные и местные налоги и сборы, неналоговые доходы и иные платежи, являющиеся и</w:t>
      </w:r>
      <w:r w:rsidRPr="00545BC4">
        <w:t>с</w:t>
      </w:r>
      <w:r w:rsidRPr="00545BC4">
        <w:t>точниками формирования доходов бюджетов, подлежат зачислению в полном объеме на счет Управления Федерального казначейства по Алтайск</w:t>
      </w:r>
      <w:r w:rsidRPr="00545BC4">
        <w:t>о</w:t>
      </w:r>
      <w:r w:rsidRPr="00545BC4">
        <w:t>му краю для распределения этим органом доходов от их уплаты в соответствии с установле</w:t>
      </w:r>
      <w:r w:rsidRPr="00545BC4">
        <w:t>н</w:t>
      </w:r>
      <w:r w:rsidRPr="00545BC4">
        <w:t>ными нормативами отчислений между уровнями</w:t>
      </w:r>
      <w:proofErr w:type="gramEnd"/>
      <w:r w:rsidRPr="00545BC4">
        <w:t xml:space="preserve"> бюджетной системы Российской Федер</w:t>
      </w:r>
      <w:r w:rsidRPr="00545BC4">
        <w:t>а</w:t>
      </w:r>
      <w:r w:rsidRPr="00545BC4">
        <w:t>ции.</w:t>
      </w:r>
    </w:p>
    <w:p w:rsidR="00233738" w:rsidRDefault="00233738" w:rsidP="00233738">
      <w:pPr>
        <w:ind w:firstLine="709"/>
        <w:jc w:val="both"/>
      </w:pPr>
      <w:r w:rsidRPr="00583198">
        <w:rPr>
          <w:b/>
        </w:rPr>
        <w:t>Налог  на доходы  физических лиц</w:t>
      </w:r>
      <w:r>
        <w:t xml:space="preserve"> рассчитывается в соответствии с главой 23 части 2 Налогового Кодекса РФ «Налог на доходы физических лиц».</w:t>
      </w:r>
    </w:p>
    <w:p w:rsidR="00233738" w:rsidRDefault="00233738" w:rsidP="00233738">
      <w:pPr>
        <w:ind w:firstLine="709"/>
        <w:jc w:val="both"/>
      </w:pPr>
      <w:r>
        <w:t>Основная ставка налога – 13%.</w:t>
      </w:r>
    </w:p>
    <w:p w:rsidR="00233738" w:rsidRDefault="00233738" w:rsidP="00233738">
      <w:pPr>
        <w:ind w:firstLine="709"/>
        <w:jc w:val="both"/>
      </w:pPr>
      <w:r w:rsidRPr="00583198">
        <w:rPr>
          <w:b/>
        </w:rPr>
        <w:t>Налог на имущество физических лиц</w:t>
      </w:r>
      <w:r>
        <w:rPr>
          <w:b/>
        </w:rPr>
        <w:t xml:space="preserve">  </w:t>
      </w:r>
      <w:r>
        <w:t>- объектами налогообложения являются находящиеся в собственности физических лиц жилые дома, квартиры, гаражи и иные строения, помещения и сооружения.</w:t>
      </w:r>
    </w:p>
    <w:p w:rsidR="00233738" w:rsidRDefault="00233738" w:rsidP="00233738">
      <w:pPr>
        <w:ind w:firstLine="709"/>
        <w:jc w:val="both"/>
      </w:pPr>
      <w:r>
        <w:t>Налоговой базой для исчисления налога на строения, помещения и сооружения является суммарная инвентаризационная стоимость объекта налогообложения, умноженная на коэффициент-дефлятор. Налог на строения, помещения и сооружения уплачивается ежегодно по ставкам, устанавливаемым нормативными правовыми актами представительных органов муниципальных образований (т.е. решение сельских администрации) в зависимости от инвентаризационной стоимости.</w:t>
      </w:r>
    </w:p>
    <w:p w:rsidR="00233738" w:rsidRDefault="00233738" w:rsidP="00233738">
      <w:pPr>
        <w:ind w:firstLine="709"/>
        <w:jc w:val="both"/>
      </w:pPr>
      <w:r>
        <w:t>Налог исчисляется на основании данных об инвентаризационной стоимости объекта по состоянию на 1 января каждого года.</w:t>
      </w:r>
    </w:p>
    <w:p w:rsidR="00233738" w:rsidRDefault="00233738" w:rsidP="00233738">
      <w:pPr>
        <w:ind w:firstLine="709"/>
        <w:jc w:val="both"/>
      </w:pPr>
      <w:r>
        <w:t>В расчетах на 2015 год по налогу на имущество физических лиц применялась индексация стоимости объекта недвижимости, принадлежащего гражданам на праве собственности  с коэффициентом 1,07.</w:t>
      </w:r>
    </w:p>
    <w:p w:rsidR="00233738" w:rsidRDefault="00233738" w:rsidP="00233738">
      <w:pPr>
        <w:ind w:firstLine="709"/>
        <w:jc w:val="both"/>
      </w:pPr>
      <w:r w:rsidRPr="00A11AAC">
        <w:rPr>
          <w:b/>
        </w:rPr>
        <w:t>Земельный налог</w:t>
      </w:r>
      <w:r>
        <w:rPr>
          <w:b/>
        </w:rPr>
        <w:t xml:space="preserve"> </w:t>
      </w:r>
      <w:r>
        <w:t>порядок исчисления и уплаты налога производится в соответствии с законодательством РФ, с главой 31 части 2 Налогового Кодекса РФ.</w:t>
      </w:r>
    </w:p>
    <w:p w:rsidR="00233738" w:rsidRPr="00EE118C" w:rsidRDefault="00233738" w:rsidP="00233738">
      <w:pPr>
        <w:ind w:firstLine="709"/>
        <w:jc w:val="both"/>
      </w:pPr>
      <w:r w:rsidRPr="00EE118C">
        <w:lastRenderedPageBreak/>
        <w:t>Налогоплательщиками налога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пожизненного наследуемого владения</w:t>
      </w:r>
      <w:r>
        <w:t>. Налоговые ставки земельного налога установлены в следующих размерах от кадастровой стоимости земельных участков, признаваемых объектом налогообложения в соответствии с НК РФ  и решением собрания депутатов сельсоветов Тюменцевского района, не превышающей 0,3 процента их кадастровой стоимости в отношении земельных участков и 1,5 процента в отношении прочих земельных участков</w:t>
      </w:r>
      <w:r w:rsidRPr="00EE118C">
        <w:t>.</w:t>
      </w:r>
    </w:p>
    <w:p w:rsidR="00233738" w:rsidRPr="00EE118C" w:rsidRDefault="00233738" w:rsidP="00233738">
      <w:pPr>
        <w:ind w:firstLine="709"/>
        <w:jc w:val="both"/>
      </w:pPr>
      <w:r w:rsidRPr="00EE118C">
        <w:t>Объектом налогообложения признаются земельные участки, расположенные в пределах муниципального образования, на территории которого введен налог.</w:t>
      </w:r>
    </w:p>
    <w:p w:rsidR="00233738" w:rsidRDefault="00233738" w:rsidP="00233738">
      <w:pPr>
        <w:ind w:firstLine="709"/>
        <w:jc w:val="both"/>
      </w:pPr>
      <w:r w:rsidRPr="00DD4CA6">
        <w:rPr>
          <w:b/>
        </w:rPr>
        <w:t>Штрафы</w:t>
      </w:r>
      <w:r>
        <w:t xml:space="preserve"> подлежат зачислению в местные бюджеты по месту нахождения органа или должностного лица, принявшего решение о наложении штрафа. </w:t>
      </w:r>
    </w:p>
    <w:p w:rsidR="00233738" w:rsidRDefault="00233738" w:rsidP="00233738">
      <w:pPr>
        <w:ind w:firstLine="540"/>
        <w:jc w:val="both"/>
      </w:pPr>
      <w:r w:rsidRPr="007B4375">
        <w:t>Запланировано поступление из бюджетов всех уровней в 201</w:t>
      </w:r>
      <w:r>
        <w:t>5 году</w:t>
      </w:r>
      <w:r w:rsidRPr="007B4375">
        <w:t xml:space="preserve"> – </w:t>
      </w:r>
      <w:r>
        <w:t>1749,3</w:t>
      </w:r>
      <w:r w:rsidRPr="007B4375">
        <w:t xml:space="preserve"> т</w:t>
      </w:r>
      <w:r>
        <w:t>ыс</w:t>
      </w:r>
      <w:r w:rsidRPr="007B4375">
        <w:t>.</w:t>
      </w:r>
      <w:r>
        <w:t xml:space="preserve"> </w:t>
      </w:r>
      <w:r w:rsidRPr="007B4375">
        <w:t>р</w:t>
      </w:r>
      <w:r>
        <w:t xml:space="preserve">уб. (из них  субвенций на </w:t>
      </w:r>
      <w:r w:rsidRPr="007B4375">
        <w:t xml:space="preserve"> 201</w:t>
      </w:r>
      <w:r>
        <w:t>5 год – 598,3</w:t>
      </w:r>
      <w:r w:rsidRPr="007B4375">
        <w:t>т</w:t>
      </w:r>
      <w:r>
        <w:t xml:space="preserve">ыс. </w:t>
      </w:r>
      <w:r w:rsidRPr="007B4375">
        <w:t>р</w:t>
      </w:r>
      <w:r>
        <w:t>уб.</w:t>
      </w:r>
      <w:r w:rsidRPr="007B4375">
        <w:t>) в т.ч.:</w:t>
      </w:r>
    </w:p>
    <w:p w:rsidR="00233738" w:rsidRPr="00233738" w:rsidRDefault="00233738" w:rsidP="00233738">
      <w:r w:rsidRPr="007B4375">
        <w:t xml:space="preserve">Дотации на выравнивание уровня бюджетной обеспеченности </w:t>
      </w:r>
      <w:r>
        <w:t>486,8 тыс. руб.</w:t>
      </w:r>
      <w:r w:rsidRPr="007B4375">
        <w:t>;</w:t>
      </w:r>
    </w:p>
    <w:p w:rsidR="00233738" w:rsidRPr="007B4375" w:rsidRDefault="00233738" w:rsidP="00233738">
      <w:r w:rsidRPr="007B4375">
        <w:t xml:space="preserve">Субвенция на осуществление полномочий по первичному воинскому учету на территориях, где отсутствуют военные комиссариаты </w:t>
      </w:r>
      <w:r>
        <w:t>106,0</w:t>
      </w:r>
      <w:r w:rsidRPr="007B4375">
        <w:t>т</w:t>
      </w:r>
      <w:r>
        <w:t>ыс. руб.</w:t>
      </w:r>
      <w:r w:rsidRPr="007B4375">
        <w:t>;</w:t>
      </w:r>
    </w:p>
    <w:p w:rsidR="00233738" w:rsidRPr="00233738" w:rsidRDefault="00233738" w:rsidP="00233738">
      <w:pPr>
        <w:jc w:val="both"/>
        <w:rPr>
          <w:color w:val="000000"/>
        </w:rPr>
      </w:pPr>
      <w:r w:rsidRPr="007B4375">
        <w:rPr>
          <w:color w:val="000000"/>
        </w:rPr>
        <w:t>Субвенция на функционирование административных комис</w:t>
      </w:r>
      <w:r>
        <w:rPr>
          <w:color w:val="000000"/>
        </w:rPr>
        <w:t>сий при местных администрациях 5,5</w:t>
      </w:r>
      <w:r w:rsidRPr="007B4375">
        <w:rPr>
          <w:color w:val="000000"/>
        </w:rPr>
        <w:t xml:space="preserve"> тыс. руб.;</w:t>
      </w:r>
    </w:p>
    <w:p w:rsidR="00233738" w:rsidRPr="007B4375" w:rsidRDefault="00233738" w:rsidP="00233738">
      <w:pPr>
        <w:ind w:firstLine="540"/>
        <w:jc w:val="both"/>
      </w:pPr>
      <w:r w:rsidRPr="007B4375">
        <w:t>Общие расходы на 20</w:t>
      </w:r>
      <w:r>
        <w:t>15</w:t>
      </w:r>
      <w:r w:rsidRPr="007B4375">
        <w:t xml:space="preserve"> год составили </w:t>
      </w:r>
      <w:r>
        <w:t>1749,3</w:t>
      </w:r>
      <w:r w:rsidRPr="007B4375">
        <w:t xml:space="preserve"> тыс. руб.</w:t>
      </w:r>
    </w:p>
    <w:p w:rsidR="00233738" w:rsidRPr="007B4375" w:rsidRDefault="00233738" w:rsidP="00233738">
      <w:pPr>
        <w:ind w:firstLine="540"/>
        <w:jc w:val="both"/>
      </w:pPr>
      <w:r w:rsidRPr="007B4375">
        <w:t>Из них направлено:</w:t>
      </w:r>
    </w:p>
    <w:p w:rsidR="00233738" w:rsidRPr="007B4375" w:rsidRDefault="00233738" w:rsidP="00233738">
      <w:pPr>
        <w:ind w:firstLine="540"/>
        <w:jc w:val="both"/>
      </w:pPr>
      <w:r w:rsidRPr="007B4375">
        <w:t xml:space="preserve">На управление – </w:t>
      </w:r>
      <w:r w:rsidRPr="00A17870">
        <w:t xml:space="preserve"> </w:t>
      </w:r>
      <w:r>
        <w:t>1025,5</w:t>
      </w:r>
      <w:r w:rsidRPr="00A17870">
        <w:t>тыс. руб</w:t>
      </w:r>
      <w:r w:rsidRPr="007B4375">
        <w:t xml:space="preserve">. что составило </w:t>
      </w:r>
      <w:r>
        <w:t>58,6</w:t>
      </w:r>
      <w:r w:rsidRPr="007B4375">
        <w:t>% в  общей сумме расходов.</w:t>
      </w:r>
    </w:p>
    <w:p w:rsidR="00233738" w:rsidRPr="007B4375" w:rsidRDefault="00233738" w:rsidP="00233738">
      <w:pPr>
        <w:ind w:firstLine="540"/>
        <w:jc w:val="both"/>
      </w:pPr>
      <w:r w:rsidRPr="007B4375">
        <w:t>из них:</w:t>
      </w:r>
    </w:p>
    <w:p w:rsidR="00233738" w:rsidRPr="007B4375" w:rsidRDefault="00233738" w:rsidP="00233738">
      <w:pPr>
        <w:ind w:firstLine="1080"/>
        <w:jc w:val="both"/>
      </w:pPr>
      <w:r>
        <w:t>на содержание главы сельсовета</w:t>
      </w:r>
      <w:r w:rsidRPr="007B4375">
        <w:t xml:space="preserve"> –</w:t>
      </w:r>
      <w:r>
        <w:t xml:space="preserve"> 236,6</w:t>
      </w:r>
      <w:r w:rsidRPr="007B4375">
        <w:t xml:space="preserve"> тыс. руб.</w:t>
      </w:r>
    </w:p>
    <w:p w:rsidR="00233738" w:rsidRPr="007B4375" w:rsidRDefault="00233738" w:rsidP="00233738">
      <w:pPr>
        <w:ind w:firstLine="1080"/>
        <w:jc w:val="both"/>
      </w:pPr>
      <w:r w:rsidRPr="007B4375">
        <w:t xml:space="preserve">на содержание представительного органа – </w:t>
      </w:r>
      <w:r>
        <w:t>1,0</w:t>
      </w:r>
      <w:r w:rsidRPr="007B4375">
        <w:t xml:space="preserve"> тыс. руб.</w:t>
      </w:r>
    </w:p>
    <w:p w:rsidR="00233738" w:rsidRDefault="00233738" w:rsidP="00233738">
      <w:pPr>
        <w:ind w:firstLine="1080"/>
        <w:jc w:val="both"/>
      </w:pPr>
      <w:r w:rsidRPr="007B4375">
        <w:t xml:space="preserve">на содержание аппарата управление – </w:t>
      </w:r>
      <w:r>
        <w:t>787,9</w:t>
      </w:r>
      <w:r w:rsidRPr="007B4375">
        <w:t xml:space="preserve"> тыс. руб.</w:t>
      </w:r>
    </w:p>
    <w:p w:rsidR="00233738" w:rsidRPr="007B4375" w:rsidRDefault="00233738" w:rsidP="00233738">
      <w:pPr>
        <w:ind w:left="642"/>
        <w:jc w:val="both"/>
      </w:pPr>
      <w:r w:rsidRPr="007B4375">
        <w:tab/>
      </w:r>
      <w:r>
        <w:t xml:space="preserve">На культуру, кинематографию </w:t>
      </w:r>
      <w:r w:rsidRPr="007B4375">
        <w:t xml:space="preserve">– </w:t>
      </w:r>
      <w:r>
        <w:t>360,8</w:t>
      </w:r>
      <w:r w:rsidRPr="007B4375">
        <w:t xml:space="preserve">тыс. руб. – </w:t>
      </w:r>
      <w:r>
        <w:t xml:space="preserve">20,6 </w:t>
      </w:r>
      <w:r w:rsidRPr="007B4375">
        <w:t>%</w:t>
      </w:r>
    </w:p>
    <w:p w:rsidR="00233738" w:rsidRPr="007B4375" w:rsidRDefault="00233738" w:rsidP="00233738">
      <w:pPr>
        <w:ind w:left="585"/>
        <w:jc w:val="both"/>
      </w:pPr>
      <w:r w:rsidRPr="007B4375">
        <w:tab/>
      </w:r>
      <w:r w:rsidRPr="007B4375">
        <w:tab/>
        <w:t>в том числе:</w:t>
      </w:r>
    </w:p>
    <w:p w:rsidR="00233738" w:rsidRDefault="00233738" w:rsidP="00233738">
      <w:pPr>
        <w:ind w:left="1418"/>
        <w:jc w:val="both"/>
      </w:pPr>
      <w:r>
        <w:rPr>
          <w:bCs/>
          <w:color w:val="000000"/>
        </w:rPr>
        <w:t>на у</w:t>
      </w:r>
      <w:r w:rsidRPr="000C596E">
        <w:rPr>
          <w:bCs/>
          <w:color w:val="000000"/>
        </w:rPr>
        <w:t>чреждения культуры</w:t>
      </w:r>
      <w:r>
        <w:rPr>
          <w:bCs/>
          <w:color w:val="000000"/>
        </w:rPr>
        <w:t xml:space="preserve"> </w:t>
      </w:r>
      <w:r w:rsidRPr="007B4375">
        <w:t xml:space="preserve">– </w:t>
      </w:r>
      <w:r>
        <w:t>360,8</w:t>
      </w:r>
      <w:r w:rsidRPr="007B4375">
        <w:t xml:space="preserve"> тыс. руб.</w:t>
      </w:r>
    </w:p>
    <w:p w:rsidR="00233738" w:rsidRPr="007B4375" w:rsidRDefault="00233738" w:rsidP="00233738">
      <w:pPr>
        <w:ind w:left="225" w:firstLine="315"/>
        <w:jc w:val="both"/>
      </w:pPr>
      <w:r w:rsidRPr="007B4375">
        <w:t xml:space="preserve">На национальную экономику– </w:t>
      </w:r>
      <w:r>
        <w:t xml:space="preserve">10,0 </w:t>
      </w:r>
      <w:r w:rsidRPr="007B4375">
        <w:t xml:space="preserve">тыс. руб. – </w:t>
      </w:r>
      <w:r>
        <w:t>0,12</w:t>
      </w:r>
      <w:r w:rsidRPr="007B4375">
        <w:t>%</w:t>
      </w:r>
    </w:p>
    <w:p w:rsidR="00233738" w:rsidRDefault="00233738" w:rsidP="00233738">
      <w:pPr>
        <w:ind w:left="708" w:firstLine="708"/>
        <w:jc w:val="both"/>
      </w:pPr>
      <w:r>
        <w:t xml:space="preserve">на благоустройство  </w:t>
      </w:r>
      <w:r w:rsidRPr="007B4375">
        <w:t xml:space="preserve">– </w:t>
      </w:r>
      <w:r>
        <w:t>10,0</w:t>
      </w:r>
      <w:r w:rsidRPr="007B4375">
        <w:t xml:space="preserve"> тыс. руб.</w:t>
      </w:r>
    </w:p>
    <w:p w:rsidR="00233738" w:rsidRDefault="00233738" w:rsidP="00233738">
      <w:pPr>
        <w:ind w:left="708" w:firstLine="708"/>
        <w:jc w:val="both"/>
      </w:pPr>
      <w:r>
        <w:t>в том числе: уличное освещение – 3,0тыс</w:t>
      </w:r>
      <w:proofErr w:type="gramStart"/>
      <w:r>
        <w:t>.р</w:t>
      </w:r>
      <w:proofErr w:type="gramEnd"/>
      <w:r>
        <w:t>уб.</w:t>
      </w:r>
    </w:p>
    <w:p w:rsidR="00233738" w:rsidRDefault="00233738" w:rsidP="00233738">
      <w:pPr>
        <w:ind w:left="708" w:firstLine="708"/>
        <w:jc w:val="both"/>
      </w:pPr>
      <w:r>
        <w:t xml:space="preserve">                      озеленение               -3,0тыс</w:t>
      </w:r>
      <w:proofErr w:type="gramStart"/>
      <w:r>
        <w:t>.р</w:t>
      </w:r>
      <w:proofErr w:type="gramEnd"/>
      <w:r>
        <w:t>уб.</w:t>
      </w:r>
    </w:p>
    <w:p w:rsidR="00233738" w:rsidRPr="007B4375" w:rsidRDefault="00233738" w:rsidP="00233738">
      <w:pPr>
        <w:ind w:left="708" w:firstLine="708"/>
        <w:jc w:val="both"/>
      </w:pPr>
      <w:r>
        <w:lastRenderedPageBreak/>
        <w:t xml:space="preserve">                     организация мест захоронения  - 4,0тыс</w:t>
      </w:r>
      <w:proofErr w:type="gramStart"/>
      <w:r>
        <w:t>.р</w:t>
      </w:r>
      <w:proofErr w:type="gramEnd"/>
      <w:r>
        <w:t xml:space="preserve">уб.           </w:t>
      </w:r>
      <w:r w:rsidRPr="007B4375">
        <w:tab/>
      </w:r>
    </w:p>
    <w:p w:rsidR="00233738" w:rsidRDefault="00233738" w:rsidP="00233738">
      <w:pPr>
        <w:ind w:left="585"/>
        <w:jc w:val="both"/>
      </w:pPr>
      <w:r>
        <w:t>Резервные фонды  - 3,0 тыс</w:t>
      </w:r>
      <w:proofErr w:type="gramStart"/>
      <w:r>
        <w:t>.р</w:t>
      </w:r>
      <w:proofErr w:type="gramEnd"/>
      <w:r>
        <w:t>уб. – 0,02%</w:t>
      </w:r>
    </w:p>
    <w:p w:rsidR="00233738" w:rsidRPr="00E234FB" w:rsidRDefault="00233738" w:rsidP="00233738">
      <w:pPr>
        <w:jc w:val="both"/>
      </w:pPr>
      <w:r>
        <w:t xml:space="preserve">          Межбюджетные трансферты общего характера  238,5тыс</w:t>
      </w:r>
      <w:proofErr w:type="gramStart"/>
      <w:r>
        <w:t>.р</w:t>
      </w:r>
      <w:proofErr w:type="gramEnd"/>
      <w:r>
        <w:t>уб.  – 13,6%</w:t>
      </w:r>
    </w:p>
    <w:p w:rsidR="00233738" w:rsidRPr="007B4375" w:rsidRDefault="00233738" w:rsidP="00233738">
      <w:pPr>
        <w:ind w:firstLine="540"/>
        <w:jc w:val="both"/>
      </w:pPr>
      <w:r>
        <w:tab/>
        <w:t>С</w:t>
      </w:r>
      <w:r w:rsidRPr="007B4375">
        <w:t>убвенция на функционирован</w:t>
      </w:r>
      <w:r>
        <w:t>ие административной комиссии – 5,5</w:t>
      </w:r>
      <w:r w:rsidRPr="007B4375">
        <w:t xml:space="preserve"> тыс. руб.</w:t>
      </w:r>
      <w:r>
        <w:t xml:space="preserve"> -0,03%</w:t>
      </w:r>
    </w:p>
    <w:p w:rsidR="00233738" w:rsidRPr="007B4375" w:rsidRDefault="00233738" w:rsidP="00233738">
      <w:pPr>
        <w:ind w:firstLine="540"/>
        <w:jc w:val="both"/>
      </w:pPr>
      <w:r w:rsidRPr="007B4375">
        <w:tab/>
      </w:r>
      <w:r>
        <w:t>С</w:t>
      </w:r>
      <w:r w:rsidRPr="007B4375">
        <w:t>убвенция на</w:t>
      </w:r>
      <w:r>
        <w:t xml:space="preserve"> осуществление полномочий по первичному</w:t>
      </w:r>
      <w:r w:rsidRPr="007B4375">
        <w:t xml:space="preserve"> во</w:t>
      </w:r>
      <w:r>
        <w:t>инскому учету</w:t>
      </w:r>
      <w:r w:rsidRPr="007B4375">
        <w:t xml:space="preserve"> на территории</w:t>
      </w:r>
      <w:r>
        <w:t>,</w:t>
      </w:r>
      <w:r w:rsidRPr="007B4375">
        <w:t xml:space="preserve"> где отсутствуют военные комиссариаты – </w:t>
      </w:r>
      <w:r>
        <w:t>106,0 тыс. руб. – 6,0%</w:t>
      </w:r>
      <w:r w:rsidRPr="007B4375">
        <w:tab/>
      </w:r>
    </w:p>
    <w:p w:rsidR="00233738" w:rsidRPr="007B4375" w:rsidRDefault="00233738" w:rsidP="00233738">
      <w:pPr>
        <w:ind w:firstLine="540"/>
        <w:jc w:val="both"/>
      </w:pPr>
      <w:r w:rsidRPr="007B4375">
        <w:tab/>
      </w:r>
      <w:r w:rsidRPr="007B4375">
        <w:tab/>
      </w:r>
    </w:p>
    <w:p w:rsidR="00233738" w:rsidRDefault="00233738" w:rsidP="00233738">
      <w:pPr>
        <w:ind w:firstLine="540"/>
        <w:jc w:val="both"/>
      </w:pPr>
      <w:r>
        <w:t>Главный специалист по финансам</w:t>
      </w:r>
      <w:r w:rsidRPr="007B4375">
        <w:t xml:space="preserve">                        </w:t>
      </w:r>
      <w:r w:rsidRPr="007B4375">
        <w:tab/>
      </w:r>
      <w:r w:rsidRPr="007B4375">
        <w:tab/>
      </w:r>
      <w:r w:rsidRPr="007B4375">
        <w:tab/>
        <w:t xml:space="preserve"> </w:t>
      </w:r>
      <w:r>
        <w:t xml:space="preserve">        </w:t>
      </w:r>
      <w:proofErr w:type="spellStart"/>
      <w:r>
        <w:t>Л.И.Карюкина</w:t>
      </w:r>
      <w:proofErr w:type="spellEnd"/>
    </w:p>
    <w:p w:rsidR="00233738" w:rsidRDefault="00233738" w:rsidP="00233738">
      <w:pPr>
        <w:ind w:firstLine="540"/>
        <w:jc w:val="both"/>
      </w:pPr>
    </w:p>
    <w:p w:rsidR="00233738" w:rsidRDefault="00233738" w:rsidP="006B2FC9"/>
    <w:sectPr w:rsidR="00233738" w:rsidSect="00093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34AD3"/>
    <w:multiLevelType w:val="hybridMultilevel"/>
    <w:tmpl w:val="781C5D6E"/>
    <w:lvl w:ilvl="0" w:tplc="BD7CC8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FC9"/>
    <w:rsid w:val="0009362D"/>
    <w:rsid w:val="00233738"/>
    <w:rsid w:val="003B67C7"/>
    <w:rsid w:val="006B2FC9"/>
    <w:rsid w:val="00B02ECF"/>
    <w:rsid w:val="00EC5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62D"/>
  </w:style>
  <w:style w:type="paragraph" w:styleId="2">
    <w:name w:val="heading 2"/>
    <w:basedOn w:val="a"/>
    <w:next w:val="a"/>
    <w:link w:val="20"/>
    <w:semiHidden/>
    <w:unhideWhenUsed/>
    <w:qFormat/>
    <w:rsid w:val="006B2FC9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6B2FC9"/>
    <w:pPr>
      <w:keepNext/>
      <w:spacing w:after="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B2FC9"/>
    <w:rPr>
      <w:rFonts w:ascii="Times New Roman" w:eastAsia="Times New Roman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semiHidden/>
    <w:rsid w:val="006B2FC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1">
    <w:name w:val="Основной текст 2 Знак"/>
    <w:basedOn w:val="a0"/>
    <w:link w:val="22"/>
    <w:locked/>
    <w:rsid w:val="00233738"/>
    <w:rPr>
      <w:sz w:val="28"/>
    </w:rPr>
  </w:style>
  <w:style w:type="paragraph" w:styleId="22">
    <w:name w:val="Body Text 2"/>
    <w:basedOn w:val="a"/>
    <w:link w:val="21"/>
    <w:rsid w:val="00233738"/>
    <w:pPr>
      <w:widowControl w:val="0"/>
      <w:spacing w:after="0" w:line="240" w:lineRule="auto"/>
      <w:jc w:val="both"/>
    </w:pPr>
    <w:rPr>
      <w:sz w:val="28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233738"/>
  </w:style>
  <w:style w:type="paragraph" w:styleId="a3">
    <w:name w:val="Plain Text"/>
    <w:basedOn w:val="a"/>
    <w:link w:val="a4"/>
    <w:rsid w:val="0023373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Текст Знак"/>
    <w:basedOn w:val="a0"/>
    <w:link w:val="a3"/>
    <w:rsid w:val="00233738"/>
    <w:rPr>
      <w:rFonts w:ascii="Courier New" w:eastAsia="Times New Roman" w:hAnsi="Courier New" w:cs="Times New Roman"/>
      <w:sz w:val="20"/>
      <w:szCs w:val="20"/>
    </w:rPr>
  </w:style>
  <w:style w:type="paragraph" w:customStyle="1" w:styleId="ConsTitle">
    <w:name w:val="ConsTitle"/>
    <w:rsid w:val="002337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23373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2337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9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2120</Words>
  <Characters>12086</Characters>
  <Application>Microsoft Office Word</Application>
  <DocSecurity>0</DocSecurity>
  <Lines>100</Lines>
  <Paragraphs>28</Paragraphs>
  <ScaleCrop>false</ScaleCrop>
  <Company/>
  <LinksUpToDate>false</LinksUpToDate>
  <CharactersWithSpaces>14178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7</cp:revision>
  <cp:lastPrinted>2014-12-24T06:54:00Z</cp:lastPrinted>
  <dcterms:created xsi:type="dcterms:W3CDTF">2014-12-24T06:50:00Z</dcterms:created>
  <dcterms:modified xsi:type="dcterms:W3CDTF">2014-12-31T04:25:00Z</dcterms:modified>
</cp:coreProperties>
</file>